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51E3" w14:textId="77777777" w:rsidR="00357396" w:rsidRDefault="00357396" w:rsidP="00357396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70C121F1" w14:textId="7F8EEF9E" w:rsidR="00357396" w:rsidRPr="00DB7309" w:rsidRDefault="00357396" w:rsidP="00357396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Introduction to Dance</w:t>
      </w: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 xml:space="preserve"> Unit</w:t>
      </w:r>
    </w:p>
    <w:p w14:paraId="1C6495DB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298B73F1" w14:textId="77777777" w:rsidR="00357396" w:rsidRPr="00024BC9" w:rsidRDefault="00357396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357396" w:rsidRPr="00357396" w14:paraId="4378F83B" w14:textId="77777777" w:rsidTr="00E70872">
        <w:trPr>
          <w:trHeight w:val="687"/>
        </w:trPr>
        <w:tc>
          <w:tcPr>
            <w:tcW w:w="5070" w:type="dxa"/>
            <w:tcBorders>
              <w:top w:val="nil"/>
              <w:right w:val="nil"/>
            </w:tcBorders>
          </w:tcPr>
          <w:p w14:paraId="59D5C5F4" w14:textId="77777777" w:rsidR="00E27058" w:rsidRPr="00357396" w:rsidRDefault="00E27058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357396">
              <w:rPr>
                <w:rFonts w:ascii="Century Gothic" w:hAnsi="Century Gothic"/>
                <w:b/>
                <w:color w:val="4BACC6"/>
              </w:rPr>
              <w:t>Objective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4BACC6"/>
            </w:tcBorders>
          </w:tcPr>
          <w:p w14:paraId="290BC45D" w14:textId="65EB9B9F" w:rsidR="00E27058" w:rsidRPr="00357396" w:rsidRDefault="00E27058" w:rsidP="00357396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357396">
              <w:rPr>
                <w:rFonts w:ascii="Century Gothic" w:hAnsi="Century Gothic"/>
                <w:b/>
                <w:color w:val="4BACC6"/>
              </w:rPr>
              <w:t>Planning links/Resources</w:t>
            </w:r>
          </w:p>
        </w:tc>
      </w:tr>
      <w:tr w:rsidR="00357396" w:rsidRPr="00357396" w14:paraId="14583EFF" w14:textId="77777777" w:rsidTr="00E70872">
        <w:trPr>
          <w:trHeight w:val="807"/>
        </w:trPr>
        <w:tc>
          <w:tcPr>
            <w:tcW w:w="5070" w:type="dxa"/>
            <w:shd w:val="clear" w:color="auto" w:fill="F2F2F2" w:themeFill="background1" w:themeFillShade="F2"/>
          </w:tcPr>
          <w:p w14:paraId="6DA84B34" w14:textId="77777777" w:rsidR="00357396" w:rsidRDefault="00357396" w:rsidP="00357396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  <w:highlight w:val="cyan"/>
              </w:rPr>
            </w:pPr>
          </w:p>
          <w:p w14:paraId="2EE19858" w14:textId="187578CF" w:rsidR="00357396" w:rsidRPr="00357396" w:rsidRDefault="00357396" w:rsidP="003573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7396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Acquisition</w:t>
            </w:r>
          </w:p>
        </w:tc>
        <w:tc>
          <w:tcPr>
            <w:tcW w:w="5670" w:type="dxa"/>
            <w:tcBorders>
              <w:bottom w:val="nil"/>
            </w:tcBorders>
          </w:tcPr>
          <w:p w14:paraId="1F9E3B5E" w14:textId="77777777" w:rsidR="00357396" w:rsidRPr="00357396" w:rsidRDefault="003573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872" w:rsidRPr="00357396" w14:paraId="38BBDBBC" w14:textId="77777777" w:rsidTr="00E70872">
        <w:trPr>
          <w:trHeight w:val="1370"/>
        </w:trPr>
        <w:tc>
          <w:tcPr>
            <w:tcW w:w="5070" w:type="dxa"/>
            <w:shd w:val="clear" w:color="auto" w:fill="F2F2F2" w:themeFill="background1" w:themeFillShade="F2"/>
          </w:tcPr>
          <w:p w14:paraId="12D7BE1D" w14:textId="77777777" w:rsidR="00E27058" w:rsidRPr="00357396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 xml:space="preserve">1. They can identify a number of different pathways, which can be observed through their travelling and also by questioning them; how many different pathways did you follow? What were they? </w:t>
            </w:r>
          </w:p>
          <w:p w14:paraId="79A5075E" w14:textId="77777777" w:rsidR="00E27058" w:rsidRPr="00357396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</w:tcBorders>
          </w:tcPr>
          <w:p w14:paraId="4B18A120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The planning for this Year 3 introduction to dance can be found in the additional resources section.</w:t>
            </w:r>
          </w:p>
          <w:p w14:paraId="0AEA2BC2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D70DD" w14:textId="77E89B6A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 xml:space="preserve">This unit does not need specific music. The </w:t>
            </w:r>
            <w:r w:rsidR="00E70872" w:rsidRPr="00357396">
              <w:rPr>
                <w:rFonts w:ascii="Century Gothic" w:hAnsi="Century Gothic"/>
                <w:sz w:val="20"/>
                <w:szCs w:val="20"/>
              </w:rPr>
              <w:t>music</w:t>
            </w:r>
            <w:r w:rsidRPr="00357396">
              <w:rPr>
                <w:rFonts w:ascii="Century Gothic" w:hAnsi="Century Gothic"/>
                <w:sz w:val="20"/>
                <w:szCs w:val="20"/>
              </w:rPr>
              <w:t xml:space="preserve"> that is used can be linked to your current topic. This unit introduces the pupils to the different movements that dance allows them to explore.</w:t>
            </w:r>
          </w:p>
          <w:p w14:paraId="36FFC1C0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B8B912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An end performance can be worked towards.</w:t>
            </w:r>
          </w:p>
          <w:p w14:paraId="25A0A49C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D7A993" w14:textId="77777777" w:rsidR="00E27058" w:rsidRPr="00357396" w:rsidRDefault="00E27058" w:rsidP="00E70872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  <w:highlight w:val="lightGray"/>
              </w:rPr>
              <w:t>Resources:</w:t>
            </w:r>
          </w:p>
          <w:p w14:paraId="52912905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Music dependent on the theme/topic you wish to link it with.</w:t>
            </w:r>
          </w:p>
          <w:p w14:paraId="25DF7CA2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BD2833" w14:textId="77777777" w:rsidR="00E27058" w:rsidRPr="00357396" w:rsidRDefault="00E27058" w:rsidP="00D02AFC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 xml:space="preserve">Introducing a range of music genres during this unit would </w:t>
            </w:r>
            <w:r w:rsidR="00D02AFC" w:rsidRPr="00357396">
              <w:rPr>
                <w:rFonts w:ascii="Century Gothic" w:hAnsi="Century Gothic"/>
                <w:sz w:val="20"/>
                <w:szCs w:val="20"/>
              </w:rPr>
              <w:t>be favourable as the pupils can then</w:t>
            </w:r>
            <w:r w:rsidRPr="00357396">
              <w:rPr>
                <w:rFonts w:ascii="Century Gothic" w:hAnsi="Century Gothic"/>
                <w:sz w:val="20"/>
                <w:szCs w:val="20"/>
              </w:rPr>
              <w:t xml:space="preserve"> plan</w:t>
            </w:r>
            <w:r w:rsidR="00D02AFC" w:rsidRPr="00357396">
              <w:rPr>
                <w:rFonts w:ascii="Century Gothic" w:hAnsi="Century Gothic"/>
                <w:sz w:val="20"/>
                <w:szCs w:val="20"/>
              </w:rPr>
              <w:t>,</w:t>
            </w:r>
            <w:r w:rsidRPr="00357396">
              <w:rPr>
                <w:rFonts w:ascii="Century Gothic" w:hAnsi="Century Gothic"/>
                <w:sz w:val="20"/>
                <w:szCs w:val="20"/>
              </w:rPr>
              <w:t xml:space="preserve"> and dance</w:t>
            </w:r>
            <w:r w:rsidR="00D02AFC" w:rsidRPr="00357396">
              <w:rPr>
                <w:rFonts w:ascii="Century Gothic" w:hAnsi="Century Gothic"/>
                <w:sz w:val="20"/>
                <w:szCs w:val="20"/>
              </w:rPr>
              <w:t>,</w:t>
            </w:r>
            <w:r w:rsidRPr="00357396">
              <w:rPr>
                <w:rFonts w:ascii="Century Gothic" w:hAnsi="Century Gothic"/>
                <w:sz w:val="20"/>
                <w:szCs w:val="20"/>
              </w:rPr>
              <w:t xml:space="preserve"> different </w:t>
            </w:r>
            <w:r w:rsidR="00D02AFC" w:rsidRPr="00357396">
              <w:rPr>
                <w:rFonts w:ascii="Century Gothic" w:hAnsi="Century Gothic"/>
                <w:sz w:val="20"/>
                <w:szCs w:val="20"/>
              </w:rPr>
              <w:t>moves/outcomes dependent on how each piece of music is interpreted.</w:t>
            </w:r>
          </w:p>
        </w:tc>
      </w:tr>
      <w:tr w:rsidR="00E70872" w:rsidRPr="00357396" w14:paraId="27A6A27C" w14:textId="77777777" w:rsidTr="00E70872">
        <w:trPr>
          <w:trHeight w:val="1469"/>
        </w:trPr>
        <w:tc>
          <w:tcPr>
            <w:tcW w:w="5070" w:type="dxa"/>
            <w:shd w:val="clear" w:color="auto" w:fill="F2F2F2" w:themeFill="background1" w:themeFillShade="F2"/>
          </w:tcPr>
          <w:p w14:paraId="19E97F69" w14:textId="77777777" w:rsidR="00E27058" w:rsidRPr="00357396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 xml:space="preserve">2. Children are able to demonstrate through their compositions a range of different pathways. </w:t>
            </w:r>
          </w:p>
          <w:p w14:paraId="2DC996E5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9AE8810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396" w:rsidRPr="00357396" w14:paraId="0C6D5717" w14:textId="77777777" w:rsidTr="00E70872">
        <w:trPr>
          <w:trHeight w:val="710"/>
        </w:trPr>
        <w:tc>
          <w:tcPr>
            <w:tcW w:w="5070" w:type="dxa"/>
            <w:shd w:val="clear" w:color="auto" w:fill="D9D9D9" w:themeFill="background1" w:themeFillShade="D9"/>
          </w:tcPr>
          <w:p w14:paraId="33DA8F86" w14:textId="77777777" w:rsidR="00357396" w:rsidRDefault="00357396" w:rsidP="00357396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354F820" w14:textId="3919F50C" w:rsidR="00357396" w:rsidRPr="00357396" w:rsidRDefault="00357396" w:rsidP="003573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7396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</w:tc>
        <w:tc>
          <w:tcPr>
            <w:tcW w:w="5670" w:type="dxa"/>
            <w:vMerge/>
          </w:tcPr>
          <w:p w14:paraId="0DBFA6C4" w14:textId="77777777" w:rsidR="00357396" w:rsidRPr="00357396" w:rsidRDefault="003573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396" w:rsidRPr="00357396" w14:paraId="6E7C5BDE" w14:textId="77777777" w:rsidTr="00E70872">
        <w:trPr>
          <w:trHeight w:val="1370"/>
        </w:trPr>
        <w:tc>
          <w:tcPr>
            <w:tcW w:w="5070" w:type="dxa"/>
            <w:shd w:val="clear" w:color="auto" w:fill="D9D9D9" w:themeFill="background1" w:themeFillShade="D9"/>
          </w:tcPr>
          <w:p w14:paraId="3EB42C44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3. They can link a combination of turns, jumps and travelling actions in a movement phrase.</w:t>
            </w:r>
          </w:p>
        </w:tc>
        <w:tc>
          <w:tcPr>
            <w:tcW w:w="5670" w:type="dxa"/>
            <w:vMerge/>
          </w:tcPr>
          <w:p w14:paraId="2112EF8B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872" w:rsidRPr="00357396" w14:paraId="74820CA3" w14:textId="77777777" w:rsidTr="00E70872">
        <w:trPr>
          <w:trHeight w:val="1469"/>
        </w:trPr>
        <w:tc>
          <w:tcPr>
            <w:tcW w:w="5070" w:type="dxa"/>
            <w:shd w:val="clear" w:color="auto" w:fill="D9D9D9" w:themeFill="background1" w:themeFillShade="D9"/>
          </w:tcPr>
          <w:p w14:paraId="33DD5294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4. Clear changes in body tension to execute the changes of time and weight effectively.</w:t>
            </w:r>
          </w:p>
        </w:tc>
        <w:tc>
          <w:tcPr>
            <w:tcW w:w="5670" w:type="dxa"/>
            <w:vMerge/>
          </w:tcPr>
          <w:p w14:paraId="4CB5C637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872" w:rsidRPr="00357396" w14:paraId="017CCB07" w14:textId="77777777" w:rsidTr="00E70872">
        <w:trPr>
          <w:trHeight w:val="1370"/>
        </w:trPr>
        <w:tc>
          <w:tcPr>
            <w:tcW w:w="5070" w:type="dxa"/>
            <w:shd w:val="clear" w:color="auto" w:fill="D9D9D9" w:themeFill="background1" w:themeFillShade="D9"/>
          </w:tcPr>
          <w:p w14:paraId="3C2BAF31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5. The ability to select and combine a number of different actions together.</w:t>
            </w:r>
          </w:p>
        </w:tc>
        <w:tc>
          <w:tcPr>
            <w:tcW w:w="5670" w:type="dxa"/>
            <w:vMerge/>
          </w:tcPr>
          <w:p w14:paraId="72ECCCE1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396" w:rsidRPr="00357396" w14:paraId="565B6AAE" w14:textId="77777777" w:rsidTr="00E70872">
        <w:trPr>
          <w:trHeight w:val="1469"/>
        </w:trPr>
        <w:tc>
          <w:tcPr>
            <w:tcW w:w="5070" w:type="dxa"/>
            <w:shd w:val="clear" w:color="auto" w:fill="D9D9D9" w:themeFill="background1" w:themeFillShade="D9"/>
          </w:tcPr>
          <w:p w14:paraId="2B85859D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6. Clear motif development related to theme.</w:t>
            </w:r>
          </w:p>
        </w:tc>
        <w:tc>
          <w:tcPr>
            <w:tcW w:w="5670" w:type="dxa"/>
            <w:vMerge/>
          </w:tcPr>
          <w:p w14:paraId="3C63A91C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396" w:rsidRPr="00357396" w14:paraId="202C8479" w14:textId="77777777" w:rsidTr="00E70872">
        <w:trPr>
          <w:trHeight w:val="1370"/>
        </w:trPr>
        <w:tc>
          <w:tcPr>
            <w:tcW w:w="5070" w:type="dxa"/>
            <w:shd w:val="clear" w:color="auto" w:fill="D9D9D9" w:themeFill="background1" w:themeFillShade="D9"/>
          </w:tcPr>
          <w:p w14:paraId="0C186CBB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sz w:val="20"/>
                <w:szCs w:val="20"/>
              </w:rPr>
              <w:t>7. Respond to stimulus by selecting appropriate actions.</w:t>
            </w:r>
          </w:p>
        </w:tc>
        <w:tc>
          <w:tcPr>
            <w:tcW w:w="5670" w:type="dxa"/>
            <w:vMerge/>
          </w:tcPr>
          <w:p w14:paraId="200FFB68" w14:textId="77777777" w:rsidR="00E27058" w:rsidRPr="00357396" w:rsidRDefault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E2D891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04FC35F2" w14:textId="77777777" w:rsidR="00D02AFC" w:rsidRDefault="00D02AFC" w:rsidP="00024BC9">
      <w:pPr>
        <w:rPr>
          <w:rFonts w:ascii="Century Gothic" w:hAnsi="Century Gothic"/>
          <w:sz w:val="20"/>
          <w:szCs w:val="20"/>
        </w:rPr>
      </w:pPr>
    </w:p>
    <w:p w14:paraId="319F2DE4" w14:textId="77777777" w:rsidR="00E70872" w:rsidRDefault="00E70872" w:rsidP="00024BC9">
      <w:pPr>
        <w:rPr>
          <w:rFonts w:ascii="Century Gothic" w:hAnsi="Century Gothic"/>
          <w:sz w:val="20"/>
          <w:szCs w:val="20"/>
        </w:rPr>
      </w:pPr>
    </w:p>
    <w:p w14:paraId="42B04B63" w14:textId="77777777" w:rsidR="00E70872" w:rsidRDefault="00E70872" w:rsidP="00024BC9">
      <w:pPr>
        <w:rPr>
          <w:rFonts w:ascii="Century Gothic" w:hAnsi="Century Gothic"/>
          <w:sz w:val="20"/>
          <w:szCs w:val="20"/>
        </w:rPr>
      </w:pPr>
    </w:p>
    <w:p w14:paraId="0048DA5A" w14:textId="77777777" w:rsidR="00E70872" w:rsidRDefault="00E70872" w:rsidP="00024BC9">
      <w:pPr>
        <w:rPr>
          <w:rFonts w:ascii="Century Gothic" w:hAnsi="Century Gothic"/>
          <w:sz w:val="20"/>
          <w:szCs w:val="20"/>
        </w:rPr>
      </w:pPr>
    </w:p>
    <w:p w14:paraId="05ED69D1" w14:textId="77777777" w:rsidR="00E70872" w:rsidRPr="00357396" w:rsidRDefault="00E70872" w:rsidP="00024BC9">
      <w:pPr>
        <w:rPr>
          <w:rFonts w:ascii="Century Gothic" w:hAnsi="Century Gothic"/>
          <w:sz w:val="20"/>
          <w:szCs w:val="20"/>
        </w:rPr>
      </w:pPr>
    </w:p>
    <w:p w14:paraId="39593D40" w14:textId="77777777" w:rsidR="00E70872" w:rsidRDefault="00E70872" w:rsidP="00E70872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lastRenderedPageBreak/>
        <w:t>Year Group 3</w:t>
      </w:r>
    </w:p>
    <w:p w14:paraId="2F8F8A35" w14:textId="77777777" w:rsidR="00E70872" w:rsidRPr="00DB7309" w:rsidRDefault="00E70872" w:rsidP="00E70872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Introduction to Dance</w:t>
      </w: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 xml:space="preserve"> Unit</w:t>
      </w:r>
    </w:p>
    <w:p w14:paraId="34AD8349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30B5D172" w14:textId="77777777" w:rsidR="00E70872" w:rsidRPr="00357396" w:rsidRDefault="00E7087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E70872" w:rsidRPr="00E70872" w14:paraId="0ABA6D30" w14:textId="77777777" w:rsidTr="00E70872">
        <w:trPr>
          <w:trHeight w:val="2624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E856E65" w14:textId="72CFA3BE" w:rsidR="00024BC9" w:rsidRPr="00E70872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 xml:space="preserve">Skills </w:t>
            </w: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Acquisition</w:t>
            </w:r>
            <w:r w:rsidRPr="00E708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691821" w14:textId="77777777" w:rsidR="00E70872" w:rsidRPr="00E70872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E8EFFB" w14:textId="77777777" w:rsidR="00024BC9" w:rsidRPr="00E7087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2C9B6AC" w14:textId="77777777" w:rsidR="00E70872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4B617A" w14:textId="77777777" w:rsidR="00024BC9" w:rsidRPr="00E708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E27058" w:rsidRPr="00E70872">
              <w:rPr>
                <w:rFonts w:ascii="Century Gothic" w:hAnsi="Century Gothic"/>
                <w:sz w:val="20"/>
                <w:szCs w:val="20"/>
              </w:rPr>
              <w:t xml:space="preserve">They can identify a number of different pathways, which can be observed through their travelling and also by questioning them; how many different pathways did you follow? What were they? </w:t>
            </w:r>
          </w:p>
          <w:p w14:paraId="04E75160" w14:textId="77777777" w:rsidR="00024BC9" w:rsidRPr="00E708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E27058" w:rsidRPr="00E70872">
              <w:rPr>
                <w:rFonts w:ascii="Century Gothic" w:hAnsi="Century Gothic"/>
                <w:sz w:val="20"/>
                <w:szCs w:val="20"/>
              </w:rPr>
              <w:t xml:space="preserve">Children are able to demonstrate through their compositions a range of different pathways. </w:t>
            </w:r>
          </w:p>
          <w:p w14:paraId="3929915D" w14:textId="77777777" w:rsidR="00024BC9" w:rsidRPr="00E70872" w:rsidRDefault="00024BC9" w:rsidP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872" w:rsidRPr="00E70872" w14:paraId="333E7C27" w14:textId="77777777" w:rsidTr="00E70872">
        <w:trPr>
          <w:trHeight w:val="3011"/>
        </w:trPr>
        <w:tc>
          <w:tcPr>
            <w:tcW w:w="3510" w:type="dxa"/>
          </w:tcPr>
          <w:p w14:paraId="2CFB7A18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4687B246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ECF132D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91F86D4" w14:textId="77777777" w:rsidR="00024BC9" w:rsidRPr="00E70872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98458EB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5540A69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202C38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214D4486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C4A9CE7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57203B0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2045280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ADDD0FE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A7679A" w14:textId="77777777" w:rsidR="00024BC9" w:rsidRPr="00E7087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  <w:tr w:rsidR="00E70872" w:rsidRPr="00E70872" w14:paraId="0790481B" w14:textId="77777777" w:rsidTr="00E70872">
        <w:trPr>
          <w:trHeight w:val="3011"/>
        </w:trPr>
        <w:tc>
          <w:tcPr>
            <w:tcW w:w="10740" w:type="dxa"/>
            <w:gridSpan w:val="3"/>
            <w:shd w:val="clear" w:color="auto" w:fill="BFBFBF" w:themeFill="background1" w:themeFillShade="BF"/>
          </w:tcPr>
          <w:p w14:paraId="161EE416" w14:textId="7E792DFB" w:rsidR="00024BC9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57396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  <w:r w:rsidRPr="00E708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9E60407" w14:textId="77777777" w:rsidR="00E70872" w:rsidRPr="00E70872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20DF4F" w14:textId="2E48D254" w:rsidR="00024BC9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  <w:r w:rsidRPr="00E70872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AB9B7E2" w14:textId="77777777" w:rsidR="00E70872" w:rsidRPr="00E70872" w:rsidRDefault="00E708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39FD6" w14:textId="77777777" w:rsidR="00E27058" w:rsidRPr="00E70872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>3. They can link a combination of turns, jumps and travelling actions in a movement phrase.</w:t>
            </w:r>
          </w:p>
          <w:p w14:paraId="63B788D1" w14:textId="77777777" w:rsidR="00E27058" w:rsidRPr="00E70872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>4. Clear changes in body tension to execute the changes of time and weight effectively.</w:t>
            </w:r>
          </w:p>
          <w:p w14:paraId="13089CFC" w14:textId="77777777" w:rsidR="00E27058" w:rsidRPr="00E70872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>5. The ability to select and combine a number of different actions together.</w:t>
            </w:r>
            <w:bookmarkStart w:id="0" w:name="_GoBack"/>
            <w:bookmarkEnd w:id="0"/>
          </w:p>
          <w:p w14:paraId="4C7B27F8" w14:textId="77777777" w:rsidR="00E27058" w:rsidRPr="00E70872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>6. Clear motif development related to theme.</w:t>
            </w:r>
          </w:p>
          <w:p w14:paraId="2BB92651" w14:textId="77777777" w:rsidR="00E27058" w:rsidRPr="00E70872" w:rsidRDefault="00E27058" w:rsidP="00E27058">
            <w:pPr>
              <w:rPr>
                <w:rFonts w:ascii="Century Gothic" w:hAnsi="Century Gothic"/>
                <w:sz w:val="20"/>
                <w:szCs w:val="20"/>
              </w:rPr>
            </w:pPr>
            <w:r w:rsidRPr="00E70872">
              <w:rPr>
                <w:rFonts w:ascii="Century Gothic" w:hAnsi="Century Gothic"/>
                <w:sz w:val="20"/>
                <w:szCs w:val="20"/>
              </w:rPr>
              <w:t>7. Respond to stimulus by selecting appropriate actions.</w:t>
            </w:r>
          </w:p>
          <w:p w14:paraId="78FFC75E" w14:textId="77777777" w:rsidR="00024BC9" w:rsidRPr="00E70872" w:rsidRDefault="00024BC9" w:rsidP="00E270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872" w:rsidRPr="00E70872" w14:paraId="23596271" w14:textId="77777777" w:rsidTr="00E70872">
        <w:trPr>
          <w:trHeight w:val="3011"/>
        </w:trPr>
        <w:tc>
          <w:tcPr>
            <w:tcW w:w="3510" w:type="dxa"/>
          </w:tcPr>
          <w:p w14:paraId="452AD71A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178AC921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252B1CF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97C1C3A" w14:textId="77777777" w:rsidR="00024BC9" w:rsidRPr="00E70872" w:rsidRDefault="00024BC9" w:rsidP="00E27058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953C898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E433BE0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5CACE2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32612FE5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5773D35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A73EC00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C319C5C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6483F88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B9EA2C" w14:textId="77777777" w:rsidR="00024BC9" w:rsidRPr="00E70872" w:rsidRDefault="00024BC9" w:rsidP="00E27058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E7087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</w:tbl>
    <w:p w14:paraId="37225554" w14:textId="77777777" w:rsidR="00024BC9" w:rsidRDefault="00024BC9"/>
    <w:sectPr w:rsidR="00024BC9" w:rsidSect="00357396">
      <w:pgSz w:w="11900" w:h="16840"/>
      <w:pgMar w:top="720" w:right="720" w:bottom="720" w:left="720" w:header="708" w:footer="708" w:gutter="0"/>
      <w:pgBorders>
        <w:top w:val="thinThickThinMediumGap" w:sz="24" w:space="1" w:color="4BACC6"/>
        <w:left w:val="thinThickThinMediumGap" w:sz="24" w:space="4" w:color="4BACC6"/>
        <w:bottom w:val="thinThickThinMediumGap" w:sz="24" w:space="1" w:color="4BACC6"/>
        <w:right w:val="thinThickThinMedium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357396"/>
    <w:rsid w:val="00593384"/>
    <w:rsid w:val="0080763E"/>
    <w:rsid w:val="00A317AD"/>
    <w:rsid w:val="00D02AFC"/>
    <w:rsid w:val="00E27058"/>
    <w:rsid w:val="00E70872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9A7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27058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705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4356E-67E3-C043-8CA5-BD29238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2015-11-13T14:23:00Z</dcterms:created>
  <dcterms:modified xsi:type="dcterms:W3CDTF">2015-11-23T09:15:00Z</dcterms:modified>
</cp:coreProperties>
</file>